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3B82F6"/>
          <w:sz w:val="40"/>
        </w:rPr>
        <w:t>SynqFlow</w:t>
      </w:r>
    </w:p>
    <w:p>
      <w:pPr>
        <w:spacing w:after="320"/>
        <w:jc w:val="center"/>
      </w:pPr>
      <w:r>
        <w:rPr>
          <w:rFonts w:ascii="Arial" w:hAnsi="Arial"/>
          <w:color w:val="6B7280"/>
          <w:sz w:val="20"/>
        </w:rPr>
        <w:t>synqflow.app</w:t>
      </w:r>
    </w:p>
    <w:p>
      <w:pPr>
        <w:spacing w:after="80"/>
        <w:jc w:val="center"/>
      </w:pPr>
      <w:r>
        <w:rPr>
          <w:rFonts w:ascii="Arial" w:hAnsi="Arial"/>
          <w:b/>
          <w:sz w:val="32"/>
        </w:rPr>
        <w:t>Auftragsverarbeitungsvertrag (AVV)</w:t>
      </w:r>
    </w:p>
    <w:p>
      <w:pPr>
        <w:spacing w:after="80"/>
        <w:jc w:val="center"/>
      </w:pPr>
      <w:r>
        <w:rPr>
          <w:rFonts w:ascii="Arial" w:hAnsi="Arial"/>
          <w:b w:val="0"/>
          <w:sz w:val="22"/>
        </w:rPr>
        <w:t>gemäss Art. 28 DSGVO</w:t>
      </w:r>
    </w:p>
    <w:p>
      <w:pPr>
        <w:spacing w:after="400"/>
        <w:jc w:val="center"/>
      </w:pPr>
      <w:r>
        <w:rPr>
          <w:rFonts w:ascii="Arial" w:hAnsi="Arial"/>
          <w:b w:val="0"/>
          <w:color w:val="6B7280"/>
          <w:sz w:val="18"/>
        </w:rPr>
        <w:t>Stand: April 2026</w:t>
      </w:r>
    </w:p>
    <w:p/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Parteien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Dieser Auftragsverarbeitungsvertrag (nachfolgend „AVV") wird abgeschlossen zwischen: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</w:tcPr>
          <w:p>
            <w:r>
              <w:rPr>
                <w:rFonts w:ascii="Arial" w:hAnsi="Arial"/>
                <w:b/>
                <w:sz w:val="20"/>
              </w:rPr>
              <w:t>Auftragsverarbeiter</w:t>
            </w:r>
          </w:p>
        </w:tc>
        <w:tc>
          <w:tcPr>
            <w:tcW w:type="dxa" w:w="6803"/>
          </w:tcPr>
          <w:p>
            <w:r>
              <w:rPr>
                <w:rFonts w:ascii="Arial" w:hAnsi="Arial"/>
                <w:sz w:val="20"/>
              </w:rPr>
              <w:t>SynqFlow (betrieben durch Mailwire, Inh. Samuel Schwab)</w:t>
            </w:r>
          </w:p>
        </w:tc>
      </w:tr>
      <w:tr>
        <w:tc>
          <w:tcPr>
            <w:tcW w:type="dxa" w:w="2268"/>
          </w:tcPr>
          <w:p>
            <w:r>
              <w:rPr>
                <w:rFonts w:ascii="Arial" w:hAnsi="Arial"/>
                <w:b/>
                <w:sz w:val="20"/>
              </w:rPr>
              <w:t>Adresse</w:t>
            </w:r>
          </w:p>
        </w:tc>
        <w:tc>
          <w:tcPr>
            <w:tcW w:type="dxa" w:w="6803"/>
          </w:tcPr>
          <w:p>
            <w:r>
              <w:rPr>
                <w:rFonts w:ascii="Arial" w:hAnsi="Arial"/>
                <w:sz w:val="20"/>
              </w:rPr>
              <w:t>Zürich, Schweiz</w:t>
            </w:r>
          </w:p>
        </w:tc>
      </w:tr>
      <w:tr>
        <w:tc>
          <w:tcPr>
            <w:tcW w:type="dxa" w:w="2268"/>
          </w:tcPr>
          <w:p>
            <w:r>
              <w:rPr>
                <w:rFonts w:ascii="Arial" w:hAnsi="Arial"/>
                <w:b/>
                <w:sz w:val="20"/>
              </w:rPr>
              <w:t>E-Mail</w:t>
            </w:r>
          </w:p>
        </w:tc>
        <w:tc>
          <w:tcPr>
            <w:tcW w:type="dxa" w:w="6803"/>
          </w:tcPr>
          <w:p>
            <w:r>
              <w:rPr>
                <w:rFonts w:ascii="Arial" w:hAnsi="Arial"/>
                <w:sz w:val="20"/>
              </w:rPr>
              <w:t>support@synqflow.app</w:t>
            </w:r>
          </w:p>
        </w:tc>
      </w:tr>
      <w:tr>
        <w:tc>
          <w:tcPr>
            <w:tcW w:type="dxa" w:w="2268"/>
          </w:tcPr>
          <w:p>
            <w:r>
              <w:rPr>
                <w:rFonts w:ascii="Arial" w:hAnsi="Arial"/>
                <w:b/>
                <w:sz w:val="20"/>
              </w:rPr>
              <w:t>Website</w:t>
            </w:r>
          </w:p>
        </w:tc>
        <w:tc>
          <w:tcPr>
            <w:tcW w:type="dxa" w:w="6803"/>
          </w:tcPr>
          <w:p>
            <w:r>
              <w:rPr>
                <w:rFonts w:ascii="Arial" w:hAnsi="Arial"/>
                <w:sz w:val="20"/>
              </w:rPr>
              <w:t>synqflow.app</w:t>
            </w:r>
          </w:p>
        </w:tc>
      </w:tr>
    </w:tbl>
    <w:p/>
    <w:p>
      <w:r>
        <w:rPr>
          <w:rFonts w:ascii="Arial" w:hAnsi="Arial"/>
          <w:b/>
          <w:sz w:val="20"/>
        </w:rPr>
        <w:t>und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</w:tcPr>
          <w:p>
            <w:r>
              <w:rPr>
                <w:rFonts w:ascii="Arial" w:hAnsi="Arial"/>
                <w:b/>
                <w:sz w:val="20"/>
              </w:rPr>
              <w:t>Verantwortlicher</w:t>
            </w:r>
          </w:p>
        </w:tc>
        <w:tc>
          <w:tcPr>
            <w:tcW w:type="dxa" w:w="6803"/>
          </w:tcPr>
          <w:p>
            <w:r>
              <w:rPr>
                <w:rFonts w:ascii="Arial" w:hAnsi="Arial"/>
                <w:sz w:val="20"/>
              </w:rPr>
              <w:t>[Name des Kunden / Unternehmensname]</w:t>
            </w:r>
          </w:p>
        </w:tc>
      </w:tr>
      <w:tr>
        <w:tc>
          <w:tcPr>
            <w:tcW w:type="dxa" w:w="2268"/>
          </w:tcPr>
          <w:p>
            <w:r>
              <w:rPr>
                <w:rFonts w:ascii="Arial" w:hAnsi="Arial"/>
                <w:b/>
                <w:sz w:val="20"/>
              </w:rPr>
              <w:t>Adresse</w:t>
            </w:r>
          </w:p>
        </w:tc>
        <w:tc>
          <w:tcPr>
            <w:tcW w:type="dxa" w:w="6803"/>
          </w:tcPr>
          <w:p>
            <w:r>
              <w:rPr>
                <w:rFonts w:ascii="Arial" w:hAnsi="Arial"/>
                <w:sz w:val="20"/>
              </w:rPr>
              <w:t>[Strasse, PLZ, Ort, Land]</w:t>
            </w:r>
          </w:p>
        </w:tc>
      </w:tr>
      <w:tr>
        <w:tc>
          <w:tcPr>
            <w:tcW w:type="dxa" w:w="2268"/>
          </w:tcPr>
          <w:p>
            <w:r>
              <w:rPr>
                <w:rFonts w:ascii="Arial" w:hAnsi="Arial"/>
                <w:b/>
                <w:sz w:val="20"/>
              </w:rPr>
              <w:t>E-Mail</w:t>
            </w:r>
          </w:p>
        </w:tc>
        <w:tc>
          <w:tcPr>
            <w:tcW w:type="dxa" w:w="6803"/>
          </w:tcPr>
          <w:p>
            <w:r>
              <w:rPr>
                <w:rFonts w:ascii="Arial" w:hAnsi="Arial"/>
                <w:sz w:val="20"/>
              </w:rPr>
              <w:t>[E-Mail-Adresse des Kunden]</w:t>
            </w:r>
          </w:p>
        </w:tc>
      </w:tr>
      <w:tr>
        <w:tc>
          <w:tcPr>
            <w:tcW w:type="dxa" w:w="2268"/>
          </w:tcPr>
          <w:p>
            <w:r>
              <w:rPr>
                <w:rFonts w:ascii="Arial" w:hAnsi="Arial"/>
                <w:b/>
                <w:sz w:val="20"/>
              </w:rPr>
              <w:t>Vertreten durch</w:t>
            </w:r>
          </w:p>
        </w:tc>
        <w:tc>
          <w:tcPr>
            <w:tcW w:type="dxa" w:w="6803"/>
          </w:tcPr>
          <w:p>
            <w:r>
              <w:rPr>
                <w:rFonts w:ascii="Arial" w:hAnsi="Arial"/>
                <w:sz w:val="20"/>
              </w:rPr>
              <w:t>[Name der vertretungsberechtigten Person]</w:t>
            </w:r>
          </w:p>
        </w:tc>
      </w:tr>
    </w:tbl>
    <w:p/>
    <w:p>
      <w:pPr>
        <w:spacing w:after="80" w:before="40"/>
      </w:pPr>
      <w:r>
        <w:rPr>
          <w:rFonts w:ascii="Arial" w:hAnsi="Arial"/>
          <w:b w:val="0"/>
          <w:sz w:val="20"/>
        </w:rPr>
        <w:t>(nachfolgend einzeln oder gemeinsam als „Parteien" bezeichnet)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1  Gegenstand und Dauer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1.1  Dieser AVV regelt die Rechte und Pflichten der Parteien im Rahmen der Verarbeitung personenbezogener Daten durch den Auftragsverarbeiter im Auftrag des Verantwortlichen.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1.2  Gegenstand der Auftragsverarbeitung ist die Erbringung der in der Leistungsbeschreibung der SynqFlow-Plattform definierten Dienste, insbesondere die Analyse von E-Mail-Marketing-Daten aus der Klaviyo-Integration des Verantwortlichen.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1.3  Dieser AVV gilt für die Dauer der Nutzung der SynqFlow-Plattform durch den Verantwortlichen und endet automatisch mit Beendigung des Hauptvertrags.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2  Art und Zweck der Verarbeitung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2.1  Der Auftragsverarbeiter verarbeitet personenbezogene Daten ausschliesslich im Auftrag und nach den dokumentierten Weisungen des Verantwortlichen.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2.2  Art der verarbeiteten Daten: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E-Mail-Adressen und Profildaten aus Klaviyo (z. B. Name, Engagement-Status)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Metadaten zu E-Mail-Kampagnen und Automatisierungsflows (Öffnungsraten, Klickraten, Conversion-Daten)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Kontolisten und Segmentdaten aus Klaviyo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Benutzerkonten der Plattform (E-Mail-Adresse, Name, verschlüsselter Klaviyo API-Key)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2.3  Kategorien betroffener Personen: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Endkunden des Verantwortlichen (Empfänger von E-Mail-Kampagnen)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Mitarbeiter und autorisierte Nutzer des Verantwortlichen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2.4  Zweck der Verarbeitung: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Durchführung von E-Mail-Marketing-Audits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Analyse und Optimierung von Klaviyo-Flows und -Kampagnen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Generierung von KI-gestützten Handlungsempfehlungen und E-Mail-Texten</w:t>
      </w:r>
    </w:p>
    <w:p>
      <w:pPr>
        <w:pStyle w:val="ListBullet"/>
        <w:spacing w:after="40"/>
        <w:ind w:left="567"/>
      </w:pPr>
      <w:r>
        <w:rPr>
          <w:rFonts w:ascii="Arial" w:hAnsi="Arial"/>
          <w:sz w:val="20"/>
        </w:rPr>
        <w:t>Bereitstellung der SynqFlow-Plattformfunktionen gemäss Leistungsbeschreibung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3  Pflichten des Auftragsverarbeiters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Der Auftragsverarbeiter verpflichtet sich: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3.1  Personenbezogene Daten ausschliesslich entsprechend den dokumentierten Weisungen des Verantwortlichen zu verarbeiten und diese nicht für eigene Zwecke zu nutzen.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3.2  Alle zur Auftragserfüllung eingesetzten Personen zur Vertraulichkeit zu verpflichten oder sicherzustellen, dass sie einer angemessenen gesetzlichen Verschwiegenheitspflicht unterliegen.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3.3  Geeignete technische und organisatorische Massnahmen (TOMs) gemäss Art. 32 DSGVO zu treffen und aufrechtzuerhalten (siehe Anhang A).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3.4  Den Verantwortlichen unverzüglich zu informieren, falls eine erteilte Weisung nach Ansicht des Auftragsverarbeiters gegen datenschutzrechtliche Vorschriften verstösst.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3.5  Den Verantwortlichen bei der Erfüllung seiner Pflichten gemäss Art. 32–36 DSGVO (Sicherheit, Datenpannenmeldung, Datenschutz-Folgenabschätzung, vorherige Konsultation) zu unterstützen.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3.6  Dem Verantwortlichen alle erforderlichen Informationen zum Nachweis der Einhaltung der Pflichten aus Art. 28 DSGVO zur Verfügung zu stellen und Überprüfungen zu ermöglichen.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4  Unterauftragsverarbeiter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4.1  Der Auftragsverarbeiter setzt folgende Unterauftragsverarbeiter ein: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Arial" w:hAnsi="Arial"/>
                <w:b/>
                <w:sz w:val="18"/>
              </w:rPr>
              <w:t>Anbieter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b/>
                <w:sz w:val="18"/>
              </w:rPr>
              <w:t>Zweck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b/>
                <w:sz w:val="18"/>
              </w:rPr>
              <w:t>Sitz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b/>
                <w:sz w:val="18"/>
              </w:rPr>
              <w:t>DSGVO-Grundlage</w:t>
            </w:r>
          </w:p>
        </w:tc>
      </w:tr>
      <w:tr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Supabase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Datenbankhosting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USA / Frankfurt (EU)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SCCs + Datenverarbeitung EU</w:t>
            </w:r>
          </w:p>
        </w:tc>
      </w:tr>
      <w:tr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Vercel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App-Hosting &amp; Serverless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USA / Frankfurt (EU)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SCCs + Region fra1</w:t>
            </w:r>
          </w:p>
        </w:tc>
      </w:tr>
      <w:tr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Anthropic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KI-Textgenerierung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USA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SCCs, keine Trainingsdaten</w:t>
            </w:r>
          </w:p>
        </w:tc>
      </w:tr>
      <w:tr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Resend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Transaktionale E-Mails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USA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DPA akzeptiert</w:t>
            </w:r>
          </w:p>
        </w:tc>
      </w:tr>
      <w:tr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Stripe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Zahlungsabwicklung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USA / Irland (EU)</w:t>
            </w:r>
          </w:p>
        </w:tc>
        <w:tc>
          <w:tcPr>
            <w:tcW w:type="dxa" w:w="2351"/>
          </w:tcPr>
          <w:p>
            <w:r>
              <w:rPr>
                <w:rFonts w:ascii="Arial" w:hAnsi="Arial"/>
                <w:sz w:val="18"/>
              </w:rPr>
              <w:t>SCCs, PCI-DSS</w:t>
            </w:r>
          </w:p>
        </w:tc>
      </w:tr>
    </w:tbl>
    <w:p/>
    <w:p>
      <w:pPr>
        <w:spacing w:after="80" w:before="40"/>
      </w:pPr>
      <w:r>
        <w:rPr>
          <w:rFonts w:ascii="Arial" w:hAnsi="Arial"/>
          <w:b w:val="0"/>
          <w:sz w:val="20"/>
        </w:rPr>
        <w:t>4.2  Der Auftragsverarbeiter informiert den Verantwortlichen über beabsichtigte Änderungen hinsichtlich der Hinzuziehung oder Ersetzung weiterer Unterauftragsverarbeiter, wodurch dem Verantwortlichen die Möglichkeit eingeräumt wird, Einwände gegen diese Änderungen zu erheben.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4.3  Alle Unterauftragsverarbeiter werden vertraglich zu denselben Datenschutzpflichten verpflichtet wie der Auftragsverarbeiter nach diesem AVV.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5  Betroffenenrechte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5.1  Der Auftragsverarbeiter unterstützt den Verantwortlichen bei der Erfüllung von Anfragen betroffener Personen bezüglich ihrer Rechte nach Art. 15–22 DSGVO (Auskunft, Berichtigung, Löschung, Einschränkung, Datenübertragbarkeit, Widerspruch).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5.2  Der Auftragsverarbeiter leitet eingehende Anfragen betroffener Personen unverzüglich, spätestens innerhalb von 3 Werktagen, an den Verantwortlichen weiter.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5.3  Nutzer der SynqFlow-Plattform können ihr Konto und alle gespeicherten Daten jederzeit über die Einstellungen löschen.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6  Datenpannen und Meldepflichten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6.1  Der Auftragsverarbeiter meldet Verletzungen des Schutzes personenbezogener Daten unverzüglich, spätestens innerhalb von 24 Stunden nach Bekanntwerden, an den Verantwortlichen unter der E-Mail-Adresse support@synqflow.app.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6.2  Die Meldung enthält mindestens: Art der Verletzung, betroffene Datenkategorien, betroffene Personen und Datensätze (soweit bekannt), wahrscheinliche Folgen sowie ergriffene oder vorgeschlagene Massnahmen.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6.3  Der Auftragsverarbeiter unterstützt den Verantwortlichen bei der Erfüllung der Meldepflicht gegenüber der zuständigen Aufsichtsbehörde gemäss Art. 33 DSGVO.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7  Löschung und Rückgabe von Daten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7.1  Nach Abschluss der Erbringung der Verarbeitungsleistungen löscht der Auftragsverarbeiter alle personenbezogenen Daten des Verantwortlichen, sofern nicht eine Verpflichtung zur Speicherung nach dem Unionsrecht oder dem Recht der Mitgliedstaaten besteht.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7.2  Klaviyo API-Keys werden AES-256-GCM verschlüsselt gespeichert und bei Vertragsende gelöscht. Audit-Ergebnisse werden nach Kontoschließung innerhalb von 30 Tagen gelöscht.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7.3  Der Verantwortliche kann jederzeit die Löschung seiner Daten verlangen. Die Löschung erfolgt innerhalb von 30 Tagen.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8  Drittlandübermittlungen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8.1  Soweit personenbezogene Daten in Drittländer ausserhalb der EU/EWR übermittelt werden (insb. USA), erfolgt dies auf Basis der EU-Standardvertragsklauseln (SCCs) gemäss Durchführungsbeschluss (EU) 2021/914 oder eines Angemessenheitsbeschlusses der EU-Kommission.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8.2  Für KI-Verarbeitung durch Anthropic (Claude API): Anthropic verarbeitet keine Prompts für Trainingszwecke. Entsprechende Vereinbarungen sind getroffen.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9  Haftung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9.1  Die Haftung der Parteien für Schäden aus Verletzungen der DSGVO richtet sich nach Art. 82 DSGVO.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9.2  Der Auftragsverarbeiter haftet nur für Schäden, die durch eine nicht DSGVO-konforme Verarbeitung verursacht wurden, sofern er nicht nachweist, dass er für den Schadenseintritt nicht verantwortlich ist.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§ 10  Schlussbestimmungen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10.1  Dieser AVV ist Bestandteil des zwischen den Parteien geschlossenen Hauptvertrags über die Nutzung der SynqFlow-Plattform und gilt ergänzend zu den Allgemeinen Geschäftsbedingungen.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10.2  Änderungen dieses AVV bedürfen der Schriftform. Dies gilt auch für die Aufhebung des Schriftformerfordernisses.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10.3  Es gilt das Recht der Schweiz, subsidiär das Recht der Bundesrepublik Deutschland. Ausschliesslicher Gerichtsstand ist Zürich, Schweiz.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10.4  Sollten einzelne Bestimmungen dieses AVV unwirksam sein oder werden, berührt dies die Wirksamkeit der übrigen Bestimmungen nicht.</w:t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Unterschriften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rPr>
                <w:rFonts w:ascii="Arial" w:hAnsi="Arial"/>
                <w:b/>
                <w:sz w:val="20"/>
              </w:rPr>
              <w:t>SynqFlow (Auftragsverarbeiter)</w:t>
            </w:r>
          </w:p>
        </w:tc>
        <w:tc>
          <w:tcPr>
            <w:tcW w:type="dxa" w:w="4703"/>
          </w:tcPr>
          <w:p>
            <w:r>
              <w:rPr>
                <w:rFonts w:ascii="Arial" w:hAnsi="Arial"/>
                <w:b/>
                <w:sz w:val="20"/>
              </w:rPr>
              <w:t>[Unternehmensname des Kunden] (Verantwortlicher)</w:t>
            </w:r>
          </w:p>
        </w:tc>
      </w:tr>
      <w:tr>
        <w:tc>
          <w:tcPr>
            <w:tcW w:type="dxa" w:w="4703"/>
          </w:tcPr>
          <w:p>
            <w:r>
              <w:rPr>
                <w:rFonts w:ascii="Arial" w:hAnsi="Arial"/>
                <w:sz w:val="20"/>
              </w:rPr>
              <w:t>Ort, Datum: Zürich, _______________</w:t>
            </w:r>
          </w:p>
        </w:tc>
        <w:tc>
          <w:tcPr>
            <w:tcW w:type="dxa" w:w="4703"/>
          </w:tcPr>
          <w:p>
            <w:r>
              <w:rPr>
                <w:rFonts w:ascii="Arial" w:hAnsi="Arial"/>
                <w:sz w:val="20"/>
              </w:rPr>
              <w:t>Ort, Datum: _______________</w:t>
            </w:r>
          </w:p>
        </w:tc>
      </w:tr>
      <w:tr>
        <w:tc>
          <w:tcPr>
            <w:tcW w:type="dxa" w:w="4703"/>
          </w:tcPr>
          <w:p>
            <w:r>
              <w:rPr>
                <w:rFonts w:ascii="Arial" w:hAnsi="Arial"/>
                <w:sz w:val="20"/>
              </w:rPr>
              <w:br/>
              <w:br/>
              <w:br/>
              <w:t>_____________________________</w:t>
              <w:br/>
              <w:t>Samuel Schwab, SynqFlow</w:t>
            </w:r>
          </w:p>
        </w:tc>
        <w:tc>
          <w:tcPr>
            <w:tcW w:type="dxa" w:w="4703"/>
          </w:tcPr>
          <w:p>
            <w:r>
              <w:rPr>
                <w:rFonts w:ascii="Arial" w:hAnsi="Arial"/>
                <w:sz w:val="20"/>
              </w:rPr>
              <w:br/>
              <w:br/>
              <w:br/>
              <w:t>_____________________________</w:t>
              <w:br/>
              <w:t>[Name, Funktion]</w:t>
            </w:r>
          </w:p>
        </w:tc>
      </w:tr>
    </w:tbl>
    <w:p>
      <w:r>
        <w:br w:type="page"/>
      </w:r>
    </w:p>
    <w:p>
      <w:pPr>
        <w:spacing w:before="280" w:after="80"/>
      </w:pPr>
      <w:r>
        <w:rPr>
          <w:rFonts w:ascii="Arial" w:hAnsi="Arial"/>
          <w:b/>
          <w:color w:val="111827"/>
          <w:sz w:val="26"/>
        </w:rPr>
        <w:t>Anhang A – Technische und organisatorische Massnahmen (TOMs)</w:t>
      </w:r>
    </w:p>
    <w:p>
      <w:pPr>
        <w:spacing w:after="80" w:before="40"/>
      </w:pPr>
      <w:r>
        <w:rPr>
          <w:rFonts w:ascii="Arial" w:hAnsi="Arial"/>
          <w:b w:val="0"/>
          <w:sz w:val="20"/>
        </w:rPr>
        <w:t>Gemäss Art. 32 DSGVO hat SynqFlow folgende Massnahmen zur Sicherheit der Verarbeitung implementiert: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35"/>
        <w:gridCol w:w="6236"/>
      </w:tblGrid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Verschlüsselung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AES-256-GCM Verschlüsselung aller Klaviyo API-Keys at rest; TLS 1.2+ für alle Datenübertragungen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Zugangskontrolle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Supabase Row Level Security (RLS) mit 16 Policies auf 7 Tabellen; Auth-Guard auf allen API-Routen; Rate Limiting (Brute-Force-Schutz)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Input-Validierung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Zod-Validierung auf allen API-Endpoints; Klaviyo API-Key Format-Prüfung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Security Headers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Content Security Policy (CSP), HSTS, X-Frame-Options: DENY, X-Content-Type-Options, Referrer-Policy, Permissions-Policy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Datenspeicherung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Supabase PostgreSQL auf AWS Frankfurt (eu-central-1); Vercel Serverless Functions auf Frankfurt (fra1)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Zutritts-/Zugriffskontrolle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Supabase Auth mit PKCE Flow; Session-Verwaltung; automatischer Token-Refresh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Verfügbarkeitskontrolle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Vercel automatische Skalierung; Supabase PostgreSQL mit automatischen Backups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Datentrennung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Workspace-basierte Datentrennung; alle Abfragen sind auf den authentifizierten Workspace beschränkt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Pseudonymisierung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API-Keys werden verschlüsselt gespeichert, nicht im Klartext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sz w:val="18"/>
              </w:rPr>
              <w:t>Auftragskontrolle</w:t>
            </w:r>
          </w:p>
        </w:tc>
        <w:tc>
          <w:tcPr>
            <w:tcW w:type="dxa" w:w="6236"/>
          </w:tcPr>
          <w:p>
            <w:r>
              <w:rPr>
                <w:rFonts w:ascii="Arial" w:hAnsi="Arial"/>
                <w:sz w:val="18"/>
              </w:rPr>
              <w:t>Alle Unterauftragsverarbeiter sind vertraglich zur Einhaltung der DSGVO verpflichtet</w:t>
            </w:r>
          </w:p>
        </w:tc>
      </w:tr>
    </w:tbl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